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05B28" w:rsidRDefault="00000000">
      <w:pPr>
        <w:pStyle w:val="Titolo1"/>
      </w:pPr>
      <w:r>
        <w:t xml:space="preserve">Presentazione e motivazioni </w:t>
      </w:r>
    </w:p>
    <w:p w14:paraId="00000002" w14:textId="77777777" w:rsidR="00405B28" w:rsidRDefault="00000000">
      <w:r>
        <w:t xml:space="preserve">Come gruppo Centro Studi Sereno Regis, student* under30 a vario titolo coinvolt* nelle attività dell’associazione, abbiamo scelto di monitorare il bando di gara per l'affidamento dei servizi di gestione e funzionamento del centro di permanenza per il rimpatrio (CPR) di Torino per l’anno 2022 – 2023, CIG </w:t>
      </w:r>
      <w:r>
        <w:rPr>
          <w:color w:val="323232"/>
        </w:rPr>
        <w:t xml:space="preserve">8886364B8C, </w:t>
      </w:r>
    </w:p>
    <w:p w14:paraId="00000003" w14:textId="77777777" w:rsidR="00405B28" w:rsidRDefault="00000000">
      <w:r>
        <w:t xml:space="preserve">Nella selezione della gara oggetto del monitoraggio è stata determinante la nostra postura d’ascolto verso le istanze della società civile torinese, fortemente critiche verso le modalità di gestione del luogo e le condizioni di vita cui le persone detenute sono sottoposte; nonché, più in generale, verso gli strumenti di detenzione amministrativa e  rimpatrio forzato in uso entro le politiche italiane di governance delle migrazioni. </w:t>
      </w:r>
    </w:p>
    <w:p w14:paraId="00000004" w14:textId="77777777" w:rsidR="00405B28" w:rsidRDefault="00000000">
      <w:r>
        <w:t xml:space="preserve">Il bando segue di qualche mese il suicidio di Moussa Balde, avvenuto nella struttura di Corso Brunelleschi sotto la gestione Gepsa, azienda tuttora coinvolta nel relativo processo giudiziario. Il caso di Moussa Balde rappresenta emblematicamente il fallimento di un sistema che, sulla carta, dovrebbe tutelare i diritti fondamentali delle persone trattenute, ma che nella pratica ha mostrato gravissime lacune, soprattutto nella gestione delle vulnerabilità, nella prevenzione del rischio suicidario e nell'assistenza psicologica. </w:t>
      </w:r>
    </w:p>
    <w:p w14:paraId="00000005" w14:textId="77777777" w:rsidR="00405B28" w:rsidRDefault="00000000">
      <w:r>
        <w:t xml:space="preserve">Il nostro monitoraggio nasce quindi con l’intento di verificare se e come il nuovo bando di gara abbia tenuto conto delle criticità emerse e abbia predisposto misure concrete per garantire che i principi enunciati nel contratto d’appalto non rimangano semplici dichiarazioni formali, ma trovino effettiva applicazione nella gestione quotidiana del Centro. </w:t>
      </w:r>
    </w:p>
    <w:p w14:paraId="00000006" w14:textId="77777777" w:rsidR="00405B28" w:rsidRDefault="00000000">
      <w:pPr>
        <w:pStyle w:val="Titolo1"/>
      </w:pPr>
      <w:r>
        <w:t xml:space="preserve">Cosa abbiamo scoperto </w:t>
      </w:r>
    </w:p>
    <w:p w14:paraId="00000007" w14:textId="77777777" w:rsidR="00405B28" w:rsidRDefault="00000000">
      <w:pPr>
        <w:pStyle w:val="Titolo2"/>
      </w:pPr>
      <w:r>
        <w:t xml:space="preserve">Stato del bando </w:t>
      </w:r>
    </w:p>
    <w:p w14:paraId="00000008" w14:textId="77777777" w:rsidR="00405B28" w:rsidRDefault="00000000">
      <w:r>
        <w:t>Chiuso per inagibilità degli spazi nel mese di marzo 2023, in seguito a un incendio scoppiato durante le proteste da parte dei detenuti.</w:t>
      </w:r>
    </w:p>
    <w:p w14:paraId="00000009" w14:textId="77777777" w:rsidR="00405B28" w:rsidRDefault="00000000">
      <w:r>
        <w:rPr>
          <w:b/>
        </w:rPr>
        <w:t xml:space="preserve">Analisi del bando </w:t>
      </w:r>
    </w:p>
    <w:p w14:paraId="0000000A" w14:textId="77777777" w:rsidR="00405B28" w:rsidRDefault="00000000">
      <w:r>
        <w:t xml:space="preserve">Per quanto riguarda il bando di gara si segnala che l’azienda risultata vincitrice è la società ORS ITALIA S.r.l. avente sede legale in Roma Piazza Annibaliano n. 18 - C.F. e P.I. n. 14875441009. </w:t>
      </w:r>
    </w:p>
    <w:p w14:paraId="0000000B" w14:textId="77777777" w:rsidR="00405B28" w:rsidRDefault="00000000">
      <w:pPr>
        <w:spacing w:before="240" w:after="240"/>
      </w:pPr>
      <w:r>
        <w:t>All’</w:t>
      </w:r>
      <w:r>
        <w:rPr>
          <w:i/>
        </w:rPr>
        <w:t>articolo 9</w:t>
      </w:r>
      <w:r>
        <w:t xml:space="preserve"> della “</w:t>
      </w:r>
      <w:r>
        <w:rPr>
          <w:i/>
        </w:rPr>
        <w:t xml:space="preserve">Convenzione per l’affidamento dei servizi di gestione e funzionamento del centro di permanenza per il rimpatrio (cpr) presso la struttura demaniale sita in via santa maria mazzarello </w:t>
      </w:r>
      <w:r>
        <w:rPr>
          <w:i/>
        </w:rPr>
        <w:lastRenderedPageBreak/>
        <w:t>n. 31, torino con capienza massima sino a 144 posti</w:t>
      </w:r>
      <w:r>
        <w:t xml:space="preserve">” (CIG 8886364B8C) si fa riferimento a quanto la Prefettura pagherà al gestore per la gestione del servizio: la Prefettura pagherà 37,98 euro al giorno per ogni persona accolta nel centro, più l’IVA se prevista. A questa cifra si aggiunge un’indennità giornaliera (definita </w:t>
      </w:r>
      <w:r>
        <w:rPr>
          <w:i/>
        </w:rPr>
        <w:t>pocket money</w:t>
      </w:r>
      <w:r>
        <w:t>) di 2,50 euro per ogni ospite, destinata a piccole spese personali. Tra gli altri costi aggiuntivi (se previsti dal capitolato) figurano:</w:t>
      </w:r>
      <w:r>
        <w:rPr>
          <w:b/>
        </w:rPr>
        <w:t xml:space="preserve"> </w:t>
      </w:r>
      <w:r>
        <w:t>un Kit di primo ingresso (vestiti), ossia 133,50 euro per ogni ospite, più IVA, e scheda telefonica di 5,00 euro per ogni ospite.</w:t>
      </w:r>
    </w:p>
    <w:p w14:paraId="0000000C" w14:textId="77777777" w:rsidR="00405B28" w:rsidRDefault="00000000">
      <w:pPr>
        <w:spacing w:before="240" w:after="240"/>
        <w:jc w:val="left"/>
      </w:pPr>
      <w:r>
        <w:t>Per quanto riguarda l’importo massimo del contratto, il valore massimo dell’accordo per un anno è 3.736.192,01 euro, di cui 11.213,68 euro sono destinati specificamente agli “oneri di sicurezza da interferenza” (cioè costi legati alla gestione della sicurezza tra diversi soggetti che operano nella struttura).</w:t>
      </w:r>
    </w:p>
    <w:p w14:paraId="0000000D" w14:textId="77777777" w:rsidR="00405B28" w:rsidRDefault="00000000">
      <w:pPr>
        <w:spacing w:before="240" w:after="240"/>
        <w:jc w:val="left"/>
      </w:pPr>
      <w:r>
        <w:t>Si fa inoltre riferimento a un importo non garantito, un importo massimo rappresenta un limite di spesa: la Prefettura non è obbligata a spendere l’intera somma, ma pagherà solo per i servizi effettivamente erogati in base al numero di ospiti accolti.</w:t>
      </w:r>
    </w:p>
    <w:p w14:paraId="0000000E" w14:textId="77777777" w:rsidR="00405B28" w:rsidRDefault="00000000">
      <w:pPr>
        <w:spacing w:before="240" w:after="240"/>
      </w:pPr>
      <w:r>
        <w:t>L’</w:t>
      </w:r>
      <w:r>
        <w:rPr>
          <w:i/>
        </w:rPr>
        <w:t>articolo 10</w:t>
      </w:r>
      <w:r>
        <w:t xml:space="preserve"> riguarda la cauzione, ovvero una somma di denaro che il gestore deve garantire per firmare il contratto. Il gestore ha fornito una garanzia di 205.490,56 euro, rilasciata dalla compagnia EULER HERMES. Questa garanzia è richiesta dall’articolo 103 del Codice degli Appalti (D.Lgs. 50/2016), che stabilisce l’obbligo di una cauzione per assicurare che il gestore rispetti il contratto. Il gestore ha potuto versare una somma ridotta perché possiede una certificazione di qualità, che gli ha permesso di ottenere uno sconto sulla cauzione, come previsto dagli articoli 93 e 103 del Codice degli Appalti.</w:t>
      </w:r>
    </w:p>
    <w:p w14:paraId="0000000F" w14:textId="77777777" w:rsidR="00405B28" w:rsidRDefault="00000000">
      <w:pPr>
        <w:pStyle w:val="Titolo2"/>
      </w:pPr>
      <w:r>
        <w:t>Le “Proposte migliorative”: dubbi e criticità</w:t>
      </w:r>
    </w:p>
    <w:p w14:paraId="00000010" w14:textId="77777777" w:rsidR="00405B28" w:rsidRDefault="00000000">
      <w:r>
        <w:t xml:space="preserve">In merito agli accorgimenti circa le criticità emerse nella gestione precedente della struttura, abbiamo rilevato delle problematiche nel percorso d’accesso alla documentazione che attesti gli accordi vigenti e le pratiche di gestione quotidiana di spazi e attività. </w:t>
      </w:r>
    </w:p>
    <w:p w14:paraId="00000011" w14:textId="77777777" w:rsidR="00405B28" w:rsidRDefault="00000000">
      <w:r>
        <w:t xml:space="preserve">Tuttavia, nel verbale di gara si segnalano come punti di forza, e, quindi, ragione d’assegnazione punti in graduatoria, la presenza di accordi con associazioni di animazione socioculturale, denominate “Proposte migliorative”; finalizzate, dunque, al miglioramento delle condizioni di vita interne al centro di detenzione amministrativa. Si legge nel verbale di gara: ‹‹Appaiono pertinenti quasi tutti gli accordi prodotti e dimostrano la piena conoscenza da parte del concorrente del funzionamento e delle finalità di un CPR […]. Tutti gli accordi sono ben descritti e disvelano una chiara conoscenza dei </w:t>
      </w:r>
      <w:r>
        <w:lastRenderedPageBreak/>
        <w:t xml:space="preserve">bisogni e delle esigenze di un CPR nei quali è necessario mantenere un clima il più possibile sereno ed evitare le tensioni.›› </w:t>
      </w:r>
    </w:p>
    <w:p w14:paraId="00000012" w14:textId="77777777" w:rsidR="00405B28" w:rsidRDefault="00000000">
      <w:r>
        <w:t xml:space="preserve">A un’analisi desk delle associazioni menzionate, la pertinenza e fattibilità appare dubbia. Alcune hanno sede nel contesto urbano torinese e operano nel campo delle migrazioni. Altre, invece, pur mantenendo una coerenza tematica, sono situate al di fuori del contesto regionale piemontese rendendo presumibilmente difficile l’attuazione dei progetti presentati in fase di gara. Altre ancora presentano una forte dissonanza tematica con il contesto di riferimento. </w:t>
      </w:r>
    </w:p>
    <w:p w14:paraId="00000013" w14:textId="77777777" w:rsidR="00405B28" w:rsidRDefault="00000000">
      <w:r>
        <w:t xml:space="preserve">Dal report di Monica Gallo, </w:t>
      </w:r>
      <w:r>
        <w:rPr>
          <w:b/>
        </w:rPr>
        <w:t>Garante nazionale dei diritti delle persone private della libertà personale della Città di torino</w:t>
      </w:r>
      <w:r>
        <w:t xml:space="preserve">, redatto in seguito a una visita di controllo in data 7 febbraio 2023, si fa menzione alla gestione del campo da calcio da parte di un’associazione sportiva locale, interrotta qualche mese prima e dunque non verificabile al momento della visita. Non si fa menzione alle ulteriori attività previste dalle “Proposte migliorative”. Dal canto nostro, non avendo ricevuto i documenti d’accordo in cui vengono specificate attività e firmatari da parte delle associazioni, ci è stato impossibile stabilire l’effettiva realizzazione ed efficacia degli interventi. Si menziona in questa sede la necessità di un’ulteriore indagine che parta dall’accesso e dall’analisi dei documenti e coinvolga l* rappresentat* delle associazioni menzionate. </w:t>
      </w:r>
    </w:p>
    <w:p w14:paraId="00000014" w14:textId="77777777" w:rsidR="00405B28" w:rsidRDefault="00000000">
      <w:r>
        <w:t xml:space="preserve">In ogni caso, per quanto l’attivazione di percorsi di animazione culturale possa rivelare dei lati positivi, si segnala l’insufficienza di tale strumento di fronte alle forti carenze segnalate sul report della Garante dei diritti delle persone private della libertà della città di Torino, di cui si parlerà nel prossimo paragrafo. </w:t>
      </w:r>
    </w:p>
    <w:p w14:paraId="00000015" w14:textId="77777777" w:rsidR="00405B28" w:rsidRDefault="00000000">
      <w:pPr>
        <w:pStyle w:val="Titolo2"/>
      </w:pPr>
      <w:r>
        <w:t xml:space="preserve">Condizioni effettive rilevate </w:t>
      </w:r>
    </w:p>
    <w:p w14:paraId="00000016" w14:textId="77777777" w:rsidR="00405B28" w:rsidRDefault="00000000">
      <w:pPr>
        <w:spacing w:before="240" w:after="240"/>
      </w:pPr>
      <w:r>
        <w:t>Per quanto riguarda le condizioni effettive rilevate, data l’impossibilità di recarsi direttamente all’interno dei locali del Centro preso in esame al fine di effettuare indagini visive in proprio, si rimanda al report redatto in seguito alla visita al Centro di permanenza per i rimpatri (Cpr) di Torino da parte di una delegazione composta dalla Garante dei diritti delle persone private della libertà personale della Città di Torino, tra i quali figurano: Monica Cristina Gallo Garante di Torino, Silvia Levorato componente dell’Ufficio Nazionale, Salvatore Fachile esperto giurista, Nicola Cocco esperto medico e Monica Serrano esperta in etnopsichiatria. La visita è stata effettuata il giorno 7 Febbraio 2023.</w:t>
      </w:r>
    </w:p>
    <w:p w14:paraId="00000017" w14:textId="77777777" w:rsidR="00405B28" w:rsidRDefault="00000000">
      <w:pPr>
        <w:spacing w:before="240" w:after="240"/>
      </w:pPr>
      <w:r>
        <w:t xml:space="preserve">Il report descrive una visita di ispezione al CPR “Brunelleschi” di Torino effettuata da una delegazione del Garante della Giustizia. La visita si è svolta in un contesto particolarmente turbolento, immediatamente dopo incendi e disordini che hanno portato a trasferimenti improvvisi dei trattenuti. </w:t>
      </w:r>
      <w:r>
        <w:lastRenderedPageBreak/>
        <w:t>La delegazione ha trovato la struttura in stato di forte instabilità, con evidenti disordini organizzativi dovuti ai trasferimenti e alle misure di sicurezza straordinarie (presenti forze di polizia, guardie di finanza, ecc.). I trasferimenti, eseguiti in maniera “arbitraria”, hanno generato confusione e percezione di sradicamento, aggravando lo stress e il disagio già esistenti.</w:t>
      </w:r>
    </w:p>
    <w:p w14:paraId="00000018" w14:textId="77777777" w:rsidR="00405B28" w:rsidRDefault="00000000">
      <w:pPr>
        <w:spacing w:before="240" w:after="240"/>
      </w:pPr>
      <w:r>
        <w:t xml:space="preserve">In particolare, il report evidenzia numerose criticità, sia in termini di gestione operativa che di condizioni strutturali e organizzative, tra cui: </w:t>
      </w:r>
    </w:p>
    <w:p w14:paraId="00000019" w14:textId="77777777" w:rsidR="00405B28" w:rsidRDefault="00000000">
      <w:pPr>
        <w:spacing w:before="240" w:after="240"/>
      </w:pPr>
      <w:r>
        <w:rPr>
          <w:b/>
        </w:rPr>
        <w:t>G</w:t>
      </w:r>
      <w:r>
        <w:rPr>
          <w:b/>
          <w:color w:val="000000"/>
        </w:rPr>
        <w:t>estione delle procedure di trasferimento</w:t>
      </w:r>
      <w:r>
        <w:rPr>
          <w:sz w:val="22"/>
          <w:szCs w:val="22"/>
        </w:rPr>
        <w:t xml:space="preserve">: </w:t>
      </w:r>
      <w:r>
        <w:t>il report rileva che le persone trattenute non vengono informate in anticipo sui trasferimenti, né sulle modalità (destinazione, durata, mezzo di trasporto) e questo genera disorientamento e tensione; viene criticata la modalità di rilascio del documento di idoneità al viaggio, che invece andrebbe personalizzato e basato su una valutazione sanitaria individuale.</w:t>
      </w:r>
    </w:p>
    <w:p w14:paraId="0000001A" w14:textId="77777777" w:rsidR="00405B28" w:rsidRDefault="00000000">
      <w:pPr>
        <w:spacing w:before="240"/>
      </w:pPr>
      <w:r>
        <w:rPr>
          <w:b/>
          <w:color w:val="000000"/>
        </w:rPr>
        <w:t xml:space="preserve">Personale e supporto operativo:  </w:t>
      </w:r>
      <w:r>
        <w:t>viene segnalata la “grossa criticità” di avere un solo mediatore culturale (dedicato esclusivamente alla lingua araba) per l’intera struttura, mentre la composizione etnica dei trattenuti richiede un supporto multilingue; inoltre, pur essendo aumentati alcuni turni (operatori diurni e notturni, presidio medico), la distribuzione degli specialisti (psicologi, assistenti sociali, mediatori per altre lingue) risulta insufficiente, con turni di 3–4 ore che lasciano scoperti ampi tratti della giornata.</w:t>
      </w:r>
    </w:p>
    <w:p w14:paraId="0000001B" w14:textId="77777777" w:rsidR="00405B28" w:rsidRDefault="00000000">
      <w:pPr>
        <w:spacing w:before="240"/>
      </w:pPr>
      <w:r>
        <w:rPr>
          <w:b/>
          <w:color w:val="000000"/>
        </w:rPr>
        <w:t>Condizioni strutturali e ambientali</w:t>
      </w:r>
      <w:r>
        <w:rPr>
          <w:b/>
        </w:rPr>
        <w:t xml:space="preserve">: </w:t>
      </w:r>
      <w:r>
        <w:t>si segnala la presenza di aree interne degradate, in particolare:</w:t>
      </w:r>
      <w:r>
        <w:rPr>
          <w:sz w:val="22"/>
          <w:szCs w:val="22"/>
        </w:rPr>
        <w:t xml:space="preserve"> </w:t>
      </w:r>
      <w:r>
        <w:rPr>
          <w:i/>
        </w:rPr>
        <w:t>Area Blu</w:t>
      </w:r>
      <w:r>
        <w:rPr>
          <w:b/>
          <w:sz w:val="22"/>
          <w:szCs w:val="22"/>
        </w:rPr>
        <w:t>,</w:t>
      </w:r>
      <w:r>
        <w:t xml:space="preserve"> segnalata come la più critica, la sala mensa è stata adibita a dormitorio per oltre 48 ore, in condizioni igieniche pessime (materassi a terra, presenza di immondizia, cibo disperso); </w:t>
      </w:r>
      <w:r>
        <w:rPr>
          <w:i/>
        </w:rPr>
        <w:t>Area Bianca</w:t>
      </w:r>
      <w:r>
        <w:t xml:space="preserve">, che pur presentando un modulo abitativo in buono stato, il resto dell’area risulta compromesso dall’incendio, con condizioni igieniche insalubri; in particolare, il trattenimento prolungato (oltre 48 ore) di persone, di cui una in stato di astinenza alimentare, è giudicato inaccettabile; </w:t>
      </w:r>
      <w:r>
        <w:rPr>
          <w:i/>
        </w:rPr>
        <w:t>Altre aree (Viola, Gialla, “Nuovo Brunelleschi”)</w:t>
      </w:r>
      <w:r>
        <w:t xml:space="preserve"> sono risultate chiuse o inagibili per danni da incendio; in “Nuovo Brunelleschi” le condizioni igieniche sono paragonabili a quelle dell’Area Blu.</w:t>
      </w:r>
    </w:p>
    <w:p w14:paraId="0000001C" w14:textId="77777777" w:rsidR="00405B28" w:rsidRDefault="00000000">
      <w:pPr>
        <w:spacing w:before="240" w:after="240"/>
      </w:pPr>
      <w:r>
        <w:rPr>
          <w:b/>
        </w:rPr>
        <w:t xml:space="preserve">Locali di servizio e spazi comuni: </w:t>
      </w:r>
      <w:r>
        <w:t>le zone dedicate alla custodia degli effetti personali (scaffali aperti, assenza di porte nei servizi igienici) e quelle per la socialità (ambienti spogli, sedute in cemento) non garantiscono adeguata privacy né standard igienici. In particolare, la mancanza di impianti per una gestione autonoma dell’illuminazione e delle citofonie aggrava il senso di isolamento e vulnerabilità degli ospiti.</w:t>
      </w:r>
    </w:p>
    <w:p w14:paraId="0000001D" w14:textId="77777777" w:rsidR="00405B28" w:rsidRDefault="00000000">
      <w:pPr>
        <w:spacing w:before="240"/>
      </w:pPr>
      <w:r>
        <w:rPr>
          <w:b/>
        </w:rPr>
        <w:lastRenderedPageBreak/>
        <w:t xml:space="preserve">Comunicazione e accesso al mondo esterno: </w:t>
      </w:r>
      <w:r>
        <w:t>i detenuti non possono utilizzare dispositivi mobili personali; devono ricorrere a telefoni pubblici (spesso non funzionanti) e la gestione delle chiamate (sia in entrata che in uscita) risulta limitata sia per ragioni economiche che operative. La procedura per ottenere l’autorizzazione dei familiari (compilazione di moduli e invio alla Prefettura) si rivela troppo onerosa e ripetitiva, aggravando il senso di isolamento.</w:t>
      </w:r>
    </w:p>
    <w:p w14:paraId="0000001E" w14:textId="77777777" w:rsidR="00405B28" w:rsidRDefault="00000000">
      <w:pPr>
        <w:spacing w:before="240"/>
      </w:pPr>
      <w:r>
        <w:rPr>
          <w:b/>
          <w:color w:val="000000"/>
        </w:rPr>
        <w:t>Procedure relative ai diritti (proprietà e reclamo):</w:t>
      </w:r>
      <w:r>
        <w:rPr>
          <w:b/>
          <w:color w:val="000000"/>
          <w:sz w:val="22"/>
          <w:szCs w:val="22"/>
        </w:rPr>
        <w:t xml:space="preserve"> </w:t>
      </w:r>
      <w:r>
        <w:t>sebbene esista un sistema per la conservazione di denaro e oggetti di valore, la procedura appare macchinosa e non sempre garantisce trasparenza. Per quanto riguarda il diritto al reclamo, la procedura attuale, che obbliga i migranti a rivolgersi direttamente all’Ente Gestore, risulta inibitoria – soprattutto per chi è analfabeta o teme ritorsioni – e non consente un reclamo in forma anonima e indipendente.</w:t>
      </w:r>
    </w:p>
    <w:p w14:paraId="0000001F" w14:textId="77777777" w:rsidR="00405B28" w:rsidRDefault="00000000">
      <w:pPr>
        <w:spacing w:before="240"/>
      </w:pPr>
      <w:r>
        <w:rPr>
          <w:b/>
        </w:rPr>
        <w:t xml:space="preserve">Tutela della salute e gestione sanitaria: </w:t>
      </w:r>
      <w:r>
        <w:t>il personale sanitario, che include medici e infermieri, mostra un atteggiamento di insofferenza verso i trattenuti, soprattutto in riferimento a comportamenti “dimostrativi” (autolesionismo, tentativi di suicidio) e richieste di psicofarmaci. Si segnala anche un approccio non specializzato alla salute mentale, in particolare, l’utilizzo di protocolli “ad hoc” per il descalaggio delle terapie psicofarmacologiche viene criticato per la mancanza di basi scientifiche adeguate. Si sottolinea inoltre la necessità di un approccio multidisciplinare e di formazione specifica per il personale, nonché di un monitoraggio continuo (che al momento risulta sporadico) da parte dell’ASL.</w:t>
      </w:r>
    </w:p>
    <w:p w14:paraId="00000020" w14:textId="77777777" w:rsidR="00405B28" w:rsidRDefault="00000000">
      <w:pPr>
        <w:spacing w:before="240" w:after="240"/>
      </w:pPr>
      <w:r>
        <w:rPr>
          <w:b/>
        </w:rPr>
        <w:t xml:space="preserve">Procedure di valutazione dell’idoneità: </w:t>
      </w:r>
      <w:r>
        <w:t>il Protocollo di intesa tra ASL e Prefettura presenta lacune nella valutazione dell’idoneità alla vita in comunità ristretta, focalizzandosi quasi esclusivamente sul rischio infettivo e trascurando aspetti fondamentali di salute personale e mentale. Il sistema di codifica (STP) usato per richiedere esami e valutazioni è stato definito “improprio” perché delega a personale non specializzato la gestione di prescrizioni che richiederebbero maggiore tracciabilità e professionalità.</w:t>
      </w:r>
    </w:p>
    <w:p w14:paraId="00000021" w14:textId="77777777" w:rsidR="00405B28" w:rsidRDefault="00000000">
      <w:pPr>
        <w:spacing w:before="240" w:after="240"/>
      </w:pPr>
      <w:r>
        <w:t>In conclusione, il report dipinge un quadro complesso e preoccupante: le condizioni materiali del CPR risultano degradate in più aree, con evidenti segni di squallore, danni strutturali e insufficienze igienico-sanitarie. La gestione operativa, dalla comunicazione sui trasferimenti alla cura delle esigenze sanitarie e relazionali dei detenuti, è afflitta da numerose criticità che incidono sulla tutela dei diritti fondamentali. Le raccomandazioni proposte all’interno del report mirano a colmare queste lacune, sottolineando l’urgenza di interventi organizzativi e strutturali per garantire dignità, sicurezza e adeguato supporto sanitario ai migranti trattenuti.</w:t>
      </w:r>
    </w:p>
    <w:p w14:paraId="00000022" w14:textId="77777777" w:rsidR="00405B28" w:rsidRDefault="00000000">
      <w:pPr>
        <w:pStyle w:val="Titolo1"/>
      </w:pPr>
      <w:r>
        <w:lastRenderedPageBreak/>
        <w:t xml:space="preserve">Metodo di indagine  </w:t>
      </w:r>
    </w:p>
    <w:p w14:paraId="00000023" w14:textId="77777777" w:rsidR="00405B28" w:rsidRDefault="00000000">
      <w:pPr>
        <w:pStyle w:val="Titolo2"/>
      </w:pPr>
      <w:r>
        <w:t xml:space="preserve">Come sono state raccolte le informazioni? </w:t>
      </w:r>
    </w:p>
    <w:p w14:paraId="00000024" w14:textId="77777777" w:rsidR="00405B28" w:rsidRDefault="00000000">
      <w:r>
        <w:t>La raccolta delle informazioni si è svolta in più fasi, presentando delle difficoltà riconducibili alla natura detentiva della struttura, che rende impraticabili le interazioni con chi al tempo fu detenuto e dunque fruitore dei servizi, e alla privatizzazione della gestione.</w:t>
      </w:r>
    </w:p>
    <w:p w14:paraId="00000025" w14:textId="77777777" w:rsidR="00405B28" w:rsidRDefault="00000000">
      <w:r>
        <w:t xml:space="preserve">Si è iniziato tramite una ricerca online e l’analisi dei documenti disponibili. Gli unici reperiti nell’archivio della Prefettura di Torino sono stati gli avvisi di gara e il capitolato d’appalto. Si è proceduto, dunque, alla richiesta di accesso civico presso l’ente appaltante. I documenti richiesti e ricevuti nel corso di un mese sono stati il contratto, i verbali di gara e i pagamenti. Il contratto, però, è stato condiviso privo di allegati e offerta tecnica, nonostante costituiscano parte integrante dello stesso, come menzionato all’Art.2. </w:t>
      </w:r>
    </w:p>
    <w:p w14:paraId="00000026" w14:textId="77777777" w:rsidR="00405B28" w:rsidRDefault="00000000">
      <w:r>
        <w:t xml:space="preserve">Questa assenza ha costituito un grosso limite alla realizzazione di un’analisi approfondita dei servizi offerti. Per esempio, oltre agli accordi con le associazioni sopra citate, nei verbali di gara compare un subappalto con l’azienda Vivenda S.p.A., incaricata della preparazione dei pasti. Non avendo accesso agli allegati, non è stato possibile verificare il contratto tra le due aziende e l’entità del subappalto. Si è proceduto con una seconda richiesta d’accesso, a cui ancora non abbiamo ricevuto risposta. L’ultimo tentativo è stato quello di metterci in contatto col Responsabile Unico Progetto (RUP). Anche in questo caso non abbiamo ricevuto risposta. </w:t>
      </w:r>
    </w:p>
    <w:p w14:paraId="00000027" w14:textId="6132EEE2" w:rsidR="00405B28" w:rsidRDefault="00000000">
      <w:r>
        <w:t>In un incontro con L</w:t>
      </w:r>
      <w:r w:rsidR="00C27154">
        <w:t>orenzo</w:t>
      </w:r>
      <w:r>
        <w:t xml:space="preserve"> Figoni, avvocato e co-autore del testo “Gorgo CPR” (2024), è emersa una riflessione circa le complessità insite nella privatizzazione della gestione dei CPR. Nella sua attività di monitoraggio eseguita a livello nazionale, riporta come ostacolo principale all’accesso all’offerta tecnica il vincolo di tutela del Know-how e il segreto tecnico industriale. Si segnala come questo possa compromettere notevolmente la trasparenza del bando pubblico. </w:t>
      </w:r>
    </w:p>
    <w:p w14:paraId="00000028" w14:textId="77777777" w:rsidR="00405B28" w:rsidRDefault="00405B28"/>
    <w:p w14:paraId="00000029" w14:textId="77777777" w:rsidR="00405B28" w:rsidRDefault="00405B28"/>
    <w:p w14:paraId="0000002A" w14:textId="77777777" w:rsidR="00405B28" w:rsidRDefault="00405B28"/>
    <w:p w14:paraId="0000002B" w14:textId="77777777" w:rsidR="00405B28" w:rsidRDefault="00405B28"/>
    <w:p w14:paraId="0000002C" w14:textId="77777777" w:rsidR="00405B28" w:rsidRDefault="00405B28">
      <w:pPr>
        <w:pStyle w:val="Titolo2"/>
      </w:pPr>
    </w:p>
    <w:p w14:paraId="0000002D" w14:textId="77777777" w:rsidR="00405B28" w:rsidRDefault="00405B28"/>
    <w:p w14:paraId="0000002E" w14:textId="77777777" w:rsidR="00405B28" w:rsidRDefault="00405B28"/>
    <w:p w14:paraId="0000002F" w14:textId="77777777" w:rsidR="00405B28" w:rsidRDefault="00000000">
      <w:pPr>
        <w:rPr>
          <w:b/>
        </w:rPr>
      </w:pPr>
      <w:r>
        <w:rPr>
          <w:b/>
        </w:rPr>
        <w:lastRenderedPageBreak/>
        <w:t xml:space="preserve">Bibliografia e sitografia </w:t>
      </w:r>
    </w:p>
    <w:p w14:paraId="00000030" w14:textId="77777777" w:rsidR="00405B28" w:rsidRDefault="00000000">
      <w:r>
        <w:t>Figoni L. e Rossi L. (2024), Gorgo CPR, Altraeconomia, Milano</w:t>
      </w:r>
    </w:p>
    <w:p w14:paraId="00000031" w14:textId="77777777" w:rsidR="00405B28" w:rsidRDefault="00000000">
      <w:hyperlink r:id="rId5">
        <w:r>
          <w:rPr>
            <w:color w:val="467886"/>
            <w:u w:val="single"/>
          </w:rPr>
          <w:t>http://www.comune.torino.it/garantedetenuti/wp-content/uploads/2022/05/Relazione2021Master_compressed-1.pdf</w:t>
        </w:r>
      </w:hyperlink>
    </w:p>
    <w:p w14:paraId="00000032" w14:textId="77777777" w:rsidR="00405B28" w:rsidRDefault="00000000">
      <w:hyperlink r:id="rId6">
        <w:r>
          <w:rPr>
            <w:color w:val="1155CC"/>
            <w:u w:val="single"/>
          </w:rPr>
          <w:t>Le prefetture non controllano i Cpr.Inchiesta su appalti e gestione</w:t>
        </w:r>
      </w:hyperlink>
    </w:p>
    <w:p w14:paraId="00000033" w14:textId="77777777" w:rsidR="00405B28" w:rsidRDefault="00000000">
      <w:hyperlink r:id="rId7">
        <w:r>
          <w:rPr>
            <w:color w:val="1155CC"/>
            <w:u w:val="single"/>
          </w:rPr>
          <w:t>Strutture - ActionAid &amp; UniBa - Centri di permanenza per il rimpatrio</w:t>
        </w:r>
      </w:hyperlink>
    </w:p>
    <w:p w14:paraId="00000034" w14:textId="77777777" w:rsidR="00405B28" w:rsidRDefault="00000000">
      <w:hyperlink r:id="rId8">
        <w:r>
          <w:rPr>
            <w:color w:val="467886"/>
            <w:u w:val="single"/>
          </w:rPr>
          <w:t>https://cild.eu/wp-content/uploads/2021/10/ReportCPR_Web.pdf</w:t>
        </w:r>
      </w:hyperlink>
    </w:p>
    <w:p w14:paraId="00000035" w14:textId="77777777" w:rsidR="00405B28" w:rsidRDefault="00000000">
      <w:hyperlink r:id="rId9">
        <w:r>
          <w:rPr>
            <w:color w:val="467886"/>
            <w:u w:val="single"/>
          </w:rPr>
          <w:t>https://wp-buchineri.cild.eu/wp-content/uploads/2023/06/ReportCPR_2023_2rev.pdf</w:t>
        </w:r>
      </w:hyperlink>
    </w:p>
    <w:p w14:paraId="00000036" w14:textId="77777777" w:rsidR="00405B28" w:rsidRDefault="00405B28"/>
    <w:sectPr w:rsidR="00405B28">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7A0F7E0D-81C9-43A4-AFDF-B0DF78F8ADF4}"/>
    <w:embedItalic r:id="rId2" w:fontKey="{D3719250-9055-4E6A-8DBF-C97719C8955F}"/>
  </w:font>
  <w:font w:name="Aptos Display">
    <w:charset w:val="00"/>
    <w:family w:val="swiss"/>
    <w:pitch w:val="variable"/>
    <w:sig w:usb0="20000287" w:usb1="00000003" w:usb2="00000000" w:usb3="00000000" w:csb0="0000019F" w:csb1="00000000"/>
    <w:embedRegular r:id="rId3" w:fontKey="{219949DF-6CE5-4C5A-BB7A-E22930C5260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28"/>
    <w:rsid w:val="00405B28"/>
    <w:rsid w:val="00602544"/>
    <w:rsid w:val="00C271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4F8B"/>
  <w15:docId w15:val="{B2198A57-52CD-4E9D-A3E4-AF1A15C9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7B88"/>
  </w:style>
  <w:style w:type="paragraph" w:styleId="Titolo1">
    <w:name w:val="heading 1"/>
    <w:basedOn w:val="Normale"/>
    <w:next w:val="Normale"/>
    <w:link w:val="Titolo1Carattere"/>
    <w:uiPriority w:val="9"/>
    <w:qFormat/>
    <w:rsid w:val="009C7B88"/>
    <w:pPr>
      <w:keepNext/>
      <w:keepLines/>
      <w:spacing w:before="360" w:after="80"/>
      <w:outlineLvl w:val="0"/>
    </w:pPr>
    <w:rPr>
      <w:rFonts w:eastAsiaTheme="majorEastAsia" w:cstheme="majorBidi"/>
      <w:b/>
      <w:sz w:val="28"/>
      <w:szCs w:val="40"/>
    </w:rPr>
  </w:style>
  <w:style w:type="paragraph" w:styleId="Titolo2">
    <w:name w:val="heading 2"/>
    <w:basedOn w:val="Normale"/>
    <w:next w:val="Normale"/>
    <w:link w:val="Titolo2Carattere"/>
    <w:uiPriority w:val="9"/>
    <w:unhideWhenUsed/>
    <w:qFormat/>
    <w:rsid w:val="009C7B88"/>
    <w:pPr>
      <w:keepNext/>
      <w:keepLines/>
      <w:spacing w:before="160" w:after="80"/>
      <w:outlineLvl w:val="1"/>
    </w:pPr>
    <w:rPr>
      <w:rFonts w:eastAsiaTheme="majorEastAsia" w:cstheme="majorBidi"/>
      <w:b/>
      <w:szCs w:val="32"/>
    </w:rPr>
  </w:style>
  <w:style w:type="paragraph" w:styleId="Titolo3">
    <w:name w:val="heading 3"/>
    <w:basedOn w:val="Normale"/>
    <w:next w:val="Normale"/>
    <w:link w:val="Titolo3Carattere"/>
    <w:uiPriority w:val="9"/>
    <w:semiHidden/>
    <w:unhideWhenUsed/>
    <w:qFormat/>
    <w:rsid w:val="009C7B88"/>
    <w:pPr>
      <w:keepNext/>
      <w:keepLines/>
      <w:spacing w:before="160" w:after="80"/>
      <w:outlineLvl w:val="2"/>
    </w:pPr>
    <w:rPr>
      <w:rFonts w:eastAsiaTheme="majorEastAsia" w:cstheme="majorBidi"/>
      <w:b/>
      <w:szCs w:val="28"/>
    </w:rPr>
  </w:style>
  <w:style w:type="paragraph" w:styleId="Titolo4">
    <w:name w:val="heading 4"/>
    <w:basedOn w:val="Normale"/>
    <w:next w:val="Normale"/>
    <w:link w:val="Titolo4Carattere"/>
    <w:uiPriority w:val="9"/>
    <w:semiHidden/>
    <w:unhideWhenUsed/>
    <w:qFormat/>
    <w:rsid w:val="00A117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1177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A117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1779"/>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11779"/>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1779"/>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A11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2Carattere">
    <w:name w:val="Titolo 2 Carattere"/>
    <w:basedOn w:val="Carpredefinitoparagrafo"/>
    <w:link w:val="Titolo2"/>
    <w:uiPriority w:val="9"/>
    <w:rsid w:val="009C7B88"/>
    <w:rPr>
      <w:rFonts w:eastAsiaTheme="majorEastAsia" w:cstheme="majorBidi"/>
      <w:b/>
      <w:szCs w:val="32"/>
    </w:rPr>
  </w:style>
  <w:style w:type="character" w:customStyle="1" w:styleId="Titolo3Carattere">
    <w:name w:val="Titolo 3 Carattere"/>
    <w:basedOn w:val="Carpredefinitoparagrafo"/>
    <w:link w:val="Titolo3"/>
    <w:uiPriority w:val="9"/>
    <w:semiHidden/>
    <w:rsid w:val="009C7B88"/>
    <w:rPr>
      <w:rFonts w:eastAsiaTheme="majorEastAsia" w:cstheme="majorBidi"/>
      <w:b/>
      <w:szCs w:val="28"/>
    </w:rPr>
  </w:style>
  <w:style w:type="paragraph" w:styleId="Citazione">
    <w:name w:val="Quote"/>
    <w:basedOn w:val="Normale"/>
    <w:next w:val="Normale"/>
    <w:link w:val="CitazioneCarattere"/>
    <w:autoRedefine/>
    <w:uiPriority w:val="29"/>
    <w:qFormat/>
    <w:rsid w:val="009C7B88"/>
    <w:pPr>
      <w:spacing w:before="160"/>
      <w:ind w:left="708"/>
    </w:pPr>
    <w:rPr>
      <w:iCs/>
      <w:sz w:val="22"/>
    </w:rPr>
  </w:style>
  <w:style w:type="character" w:customStyle="1" w:styleId="CitazioneCarattere">
    <w:name w:val="Citazione Carattere"/>
    <w:basedOn w:val="Carpredefinitoparagrafo"/>
    <w:link w:val="Citazione"/>
    <w:uiPriority w:val="29"/>
    <w:rsid w:val="009C7B88"/>
    <w:rPr>
      <w:iCs/>
      <w:sz w:val="22"/>
    </w:rPr>
  </w:style>
  <w:style w:type="character" w:customStyle="1" w:styleId="Titolo1Carattere">
    <w:name w:val="Titolo 1 Carattere"/>
    <w:basedOn w:val="Carpredefinitoparagrafo"/>
    <w:link w:val="Titolo1"/>
    <w:uiPriority w:val="9"/>
    <w:rsid w:val="009C7B88"/>
    <w:rPr>
      <w:rFonts w:eastAsiaTheme="majorEastAsia" w:cstheme="majorBidi"/>
      <w:b/>
      <w:sz w:val="28"/>
      <w:szCs w:val="40"/>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44495B"/>
    <w:rPr>
      <w:rFonts w:eastAsiaTheme="majorEastAsia" w:cstheme="majorBidi"/>
      <w:color w:val="595959" w:themeColor="text1" w:themeTint="A6"/>
      <w:spacing w:val="15"/>
      <w:sz w:val="28"/>
      <w:szCs w:val="28"/>
    </w:rPr>
  </w:style>
  <w:style w:type="paragraph" w:styleId="Paragrafoelenco">
    <w:name w:val="List Paragraph"/>
    <w:basedOn w:val="Normale"/>
    <w:uiPriority w:val="34"/>
    <w:unhideWhenUsed/>
    <w:qFormat/>
    <w:rsid w:val="0044495B"/>
    <w:pPr>
      <w:ind w:left="720"/>
      <w:contextualSpacing/>
    </w:pPr>
  </w:style>
  <w:style w:type="paragraph" w:styleId="Citazioneintensa">
    <w:name w:val="Intense Quote"/>
    <w:basedOn w:val="Normale"/>
    <w:next w:val="Normale"/>
    <w:link w:val="CitazioneintensaCarattere"/>
    <w:uiPriority w:val="30"/>
    <w:unhideWhenUsed/>
    <w:qFormat/>
    <w:rsid w:val="00444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4495B"/>
    <w:rPr>
      <w:i/>
      <w:iCs/>
      <w:color w:val="0F4761" w:themeColor="accent1" w:themeShade="BF"/>
    </w:rPr>
  </w:style>
  <w:style w:type="character" w:styleId="Enfasiintensa">
    <w:name w:val="Intense Emphasis"/>
    <w:basedOn w:val="Carpredefinitoparagrafo"/>
    <w:uiPriority w:val="21"/>
    <w:qFormat/>
    <w:rsid w:val="0044495B"/>
    <w:rPr>
      <w:i/>
      <w:iCs/>
      <w:color w:val="0F4761" w:themeColor="accent1" w:themeShade="BF"/>
    </w:rPr>
  </w:style>
  <w:style w:type="character" w:styleId="Riferimentointenso">
    <w:name w:val="Intense Reference"/>
    <w:basedOn w:val="Carpredefinitoparagrafo"/>
    <w:uiPriority w:val="32"/>
    <w:unhideWhenUsed/>
    <w:qFormat/>
    <w:rsid w:val="0044495B"/>
    <w:rPr>
      <w:b/>
      <w:bCs/>
      <w:smallCaps/>
      <w:color w:val="0F4761" w:themeColor="accent1" w:themeShade="BF"/>
      <w:spacing w:val="5"/>
    </w:rPr>
  </w:style>
  <w:style w:type="character" w:customStyle="1" w:styleId="Titolo4Carattere">
    <w:name w:val="Titolo 4 Carattere"/>
    <w:basedOn w:val="Carpredefinitoparagrafo"/>
    <w:link w:val="Titolo4"/>
    <w:uiPriority w:val="9"/>
    <w:semiHidden/>
    <w:rsid w:val="00A11779"/>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A11779"/>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A11779"/>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A11779"/>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A11779"/>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A11779"/>
    <w:rPr>
      <w:rFonts w:asciiTheme="minorHAnsi" w:eastAsiaTheme="majorEastAsia" w:hAnsiTheme="minorHAnsi" w:cstheme="majorBidi"/>
      <w:color w:val="272727" w:themeColor="text1" w:themeTint="D8"/>
    </w:rPr>
  </w:style>
  <w:style w:type="character" w:customStyle="1" w:styleId="TitoloCarattere">
    <w:name w:val="Titolo Carattere"/>
    <w:basedOn w:val="Carpredefinitoparagrafo"/>
    <w:link w:val="Titolo"/>
    <w:uiPriority w:val="10"/>
    <w:rsid w:val="00A11779"/>
    <w:rPr>
      <w:rFonts w:asciiTheme="majorHAnsi" w:eastAsiaTheme="majorEastAsia" w:hAnsiTheme="majorHAnsi" w:cstheme="majorBidi"/>
      <w:spacing w:val="-10"/>
      <w:kern w:val="28"/>
      <w:sz w:val="56"/>
      <w:szCs w:val="56"/>
    </w:rPr>
  </w:style>
  <w:style w:type="character" w:styleId="Collegamentoipertestuale">
    <w:name w:val="Hyperlink"/>
    <w:basedOn w:val="Carpredefinitoparagrafo"/>
    <w:uiPriority w:val="99"/>
    <w:unhideWhenUsed/>
    <w:rsid w:val="002E0716"/>
    <w:rPr>
      <w:color w:val="467886" w:themeColor="hyperlink"/>
      <w:u w:val="single"/>
    </w:rPr>
  </w:style>
  <w:style w:type="character" w:styleId="Menzionenonrisolta">
    <w:name w:val="Unresolved Mention"/>
    <w:basedOn w:val="Carpredefinitoparagrafo"/>
    <w:uiPriority w:val="99"/>
    <w:semiHidden/>
    <w:unhideWhenUsed/>
    <w:rsid w:val="002E0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ild.eu/wp-content/uploads/2021/10/ReportCPR_Web.pdf" TargetMode="External"/><Relationship Id="rId3" Type="http://schemas.openxmlformats.org/officeDocument/2006/relationships/settings" Target="settings.xml"/><Relationship Id="rId7" Type="http://schemas.openxmlformats.org/officeDocument/2006/relationships/hyperlink" Target="https://trattenuti.actionaid.it/struttur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ltreconomia.it/le-prefetture-non-controllano-i-cpr-inchiesta-su-appalti-e-gestione/" TargetMode="External"/><Relationship Id="rId11" Type="http://schemas.openxmlformats.org/officeDocument/2006/relationships/theme" Target="theme/theme1.xml"/><Relationship Id="rId5" Type="http://schemas.openxmlformats.org/officeDocument/2006/relationships/hyperlink" Target="http://www.comune.torino.it/garantedetenuti/wp-content/uploads/2022/05/Relazione2021Master_compressed-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p-buchineri.cild.eu/wp-content/uploads/2023/06/ReportCPR_2023_2rev.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EUL4Q0WMmHkm1zSuxJukbVGq/A==">CgMxLjA4AHIhMTZBR1NWeUZINGVBczhGNmRGYTdqT0FjQUlPMlFSLTVt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2438</Words>
  <Characters>13903</Characters>
  <Application>Microsoft Office Word</Application>
  <DocSecurity>0</DocSecurity>
  <Lines>115</Lines>
  <Paragraphs>32</Paragraphs>
  <ScaleCrop>false</ScaleCrop>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 Piras</dc:creator>
  <cp:lastModifiedBy>Maura Piras</cp:lastModifiedBy>
  <cp:revision>2</cp:revision>
  <dcterms:created xsi:type="dcterms:W3CDTF">2025-02-21T10:08:00Z</dcterms:created>
  <dcterms:modified xsi:type="dcterms:W3CDTF">2025-03-17T11:26:00Z</dcterms:modified>
</cp:coreProperties>
</file>